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20" w:rsidRPr="00620269" w:rsidRDefault="00945020" w:rsidP="00945020">
      <w:pPr>
        <w:spacing w:after="0"/>
        <w:jc w:val="center"/>
        <w:rPr>
          <w:rFonts w:ascii="Sylfaen" w:hAnsi="Sylfaen"/>
          <w:b/>
          <w:sz w:val="20"/>
          <w:szCs w:val="20"/>
          <w:lang w:val="ka-GE"/>
        </w:rPr>
      </w:pPr>
      <w:r w:rsidRPr="00620269">
        <w:rPr>
          <w:rFonts w:ascii="Sylfaen" w:hAnsi="Sylfaen"/>
          <w:b/>
          <w:sz w:val="20"/>
          <w:szCs w:val="20"/>
          <w:lang w:val="ka-GE"/>
        </w:rPr>
        <w:t>ცვლილება საბანკო მომსახურების ხელშეკრულების სტანდარტულ პირობებში</w:t>
      </w:r>
    </w:p>
    <w:p w:rsidR="00945020" w:rsidRPr="00620269" w:rsidRDefault="00945020" w:rsidP="00372001">
      <w:pPr>
        <w:spacing w:after="0"/>
        <w:jc w:val="center"/>
        <w:rPr>
          <w:rFonts w:ascii="Sylfaen" w:hAnsi="Sylfaen"/>
          <w:b/>
          <w:sz w:val="20"/>
          <w:szCs w:val="20"/>
          <w:lang w:val="ka-GE"/>
        </w:rPr>
      </w:pPr>
      <w:r w:rsidRPr="00620269">
        <w:rPr>
          <w:rFonts w:ascii="Sylfaen" w:hAnsi="Sylfaen"/>
          <w:b/>
          <w:sz w:val="20"/>
          <w:szCs w:val="20"/>
          <w:lang w:val="en-GB"/>
        </w:rPr>
        <w:t xml:space="preserve">Amendment </w:t>
      </w:r>
      <w:r w:rsidRPr="00620269">
        <w:rPr>
          <w:rFonts w:ascii="Sylfaen" w:hAnsi="Sylfaen"/>
          <w:b/>
          <w:sz w:val="20"/>
          <w:szCs w:val="20"/>
          <w:lang w:val="ka-GE"/>
        </w:rPr>
        <w:t xml:space="preserve"> </w:t>
      </w:r>
      <w:r w:rsidRPr="00620269">
        <w:rPr>
          <w:rFonts w:ascii="Sylfaen" w:hAnsi="Sylfaen"/>
          <w:b/>
          <w:sz w:val="20"/>
          <w:szCs w:val="20"/>
          <w:lang w:val="en-GB"/>
        </w:rPr>
        <w:t>in the Standard Terms of Banking Services</w:t>
      </w:r>
    </w:p>
    <w:p w:rsidR="002F3E36" w:rsidRPr="00620269" w:rsidRDefault="00C55004" w:rsidP="00372001">
      <w:pPr>
        <w:spacing w:after="0"/>
        <w:jc w:val="center"/>
        <w:rPr>
          <w:rFonts w:ascii="Sylfaen" w:hAnsi="Sylfaen"/>
          <w:b/>
          <w:sz w:val="20"/>
          <w:szCs w:val="20"/>
        </w:rPr>
      </w:pPr>
      <w:r w:rsidRPr="00620269">
        <w:rPr>
          <w:rFonts w:ascii="Sylfaen" w:hAnsi="Sylfaen"/>
          <w:b/>
          <w:sz w:val="20"/>
          <w:szCs w:val="20"/>
          <w:lang w:val="ka-GE"/>
        </w:rPr>
        <w:t xml:space="preserve">                                                                                                                   </w:t>
      </w:r>
    </w:p>
    <w:p w:rsidR="00C55004" w:rsidRPr="00620269" w:rsidRDefault="00AF3560" w:rsidP="00A3752C">
      <w:pPr>
        <w:shd w:val="clear" w:color="auto" w:fill="FFFFFF" w:themeFill="background1"/>
        <w:spacing w:after="0"/>
        <w:jc w:val="center"/>
        <w:rPr>
          <w:rFonts w:ascii="Sylfaen" w:hAnsi="Sylfaen"/>
          <w:b/>
          <w:sz w:val="20"/>
          <w:szCs w:val="20"/>
          <w:lang w:val="en-GB"/>
        </w:rPr>
      </w:pPr>
      <w:r w:rsidRPr="00620269">
        <w:rPr>
          <w:rFonts w:ascii="Sylfaen" w:hAnsi="Sylfaen"/>
          <w:b/>
          <w:sz w:val="20"/>
          <w:szCs w:val="20"/>
        </w:rPr>
        <w:t xml:space="preserve">                                                                                                     </w:t>
      </w:r>
      <w:r w:rsidR="00C55004" w:rsidRPr="00620269">
        <w:rPr>
          <w:rFonts w:ascii="Sylfaen" w:hAnsi="Sylfaen"/>
          <w:b/>
          <w:sz w:val="20"/>
          <w:szCs w:val="20"/>
          <w:lang w:val="ka-GE"/>
        </w:rPr>
        <w:t xml:space="preserve"> </w:t>
      </w:r>
      <w:r w:rsidR="000C5D21" w:rsidRPr="00620269">
        <w:rPr>
          <w:rFonts w:ascii="Sylfaen" w:hAnsi="Sylfaen"/>
          <w:b/>
          <w:sz w:val="20"/>
          <w:szCs w:val="20"/>
          <w:lang w:val="ka-GE"/>
        </w:rPr>
        <w:t xml:space="preserve">ძალაშია </w:t>
      </w:r>
      <w:r w:rsidRPr="00620269">
        <w:rPr>
          <w:rFonts w:ascii="Sylfaen" w:hAnsi="Sylfaen"/>
          <w:b/>
          <w:sz w:val="20"/>
          <w:szCs w:val="20"/>
          <w:lang w:val="ka-GE"/>
        </w:rPr>
        <w:t xml:space="preserve">შემდეგი </w:t>
      </w:r>
      <w:r w:rsidR="00C55004" w:rsidRPr="00620269">
        <w:rPr>
          <w:rFonts w:ascii="Sylfaen" w:hAnsi="Sylfaen"/>
          <w:b/>
          <w:sz w:val="20"/>
          <w:szCs w:val="20"/>
          <w:lang w:val="ka-GE"/>
        </w:rPr>
        <w:t>თარიღი</w:t>
      </w:r>
      <w:r w:rsidRPr="00620269">
        <w:rPr>
          <w:rFonts w:ascii="Sylfaen" w:hAnsi="Sylfaen"/>
          <w:b/>
          <w:sz w:val="20"/>
          <w:szCs w:val="20"/>
          <w:lang w:val="ka-GE"/>
        </w:rPr>
        <w:t>დან</w:t>
      </w:r>
      <w:r w:rsidR="00C55004" w:rsidRPr="00620269">
        <w:rPr>
          <w:rFonts w:ascii="Sylfaen" w:hAnsi="Sylfaen"/>
          <w:b/>
          <w:sz w:val="20"/>
          <w:szCs w:val="20"/>
          <w:lang w:val="ka-GE"/>
        </w:rPr>
        <w:t>/</w:t>
      </w:r>
      <w:r w:rsidR="000C5D21" w:rsidRPr="00620269">
        <w:rPr>
          <w:rFonts w:ascii="Sylfaen" w:hAnsi="Sylfaen"/>
          <w:b/>
          <w:sz w:val="20"/>
          <w:szCs w:val="20"/>
          <w:lang w:val="en-GB"/>
        </w:rPr>
        <w:t xml:space="preserve">Valid since </w:t>
      </w:r>
      <w:r w:rsidR="00C55004" w:rsidRPr="00A3752C">
        <w:rPr>
          <w:rFonts w:ascii="Sylfaen" w:hAnsi="Sylfaen"/>
          <w:b/>
          <w:sz w:val="20"/>
          <w:szCs w:val="20"/>
          <w:lang w:val="ka-GE"/>
        </w:rPr>
        <w:t xml:space="preserve">Date </w:t>
      </w:r>
      <w:r w:rsidR="00933767">
        <w:rPr>
          <w:rFonts w:ascii="Sylfaen" w:hAnsi="Sylfaen"/>
          <w:b/>
          <w:sz w:val="20"/>
          <w:szCs w:val="20"/>
        </w:rPr>
        <w:t>10</w:t>
      </w:r>
      <w:r w:rsidR="00225C7F" w:rsidRPr="00A3752C">
        <w:rPr>
          <w:rFonts w:ascii="Sylfaen" w:hAnsi="Sylfaen"/>
          <w:b/>
          <w:sz w:val="20"/>
          <w:szCs w:val="20"/>
          <w:lang w:val="ka-GE"/>
        </w:rPr>
        <w:t>/</w:t>
      </w:r>
      <w:r w:rsidR="00640A0F" w:rsidRPr="00A3752C">
        <w:rPr>
          <w:rFonts w:ascii="Sylfaen" w:hAnsi="Sylfaen"/>
          <w:b/>
          <w:sz w:val="20"/>
          <w:szCs w:val="20"/>
          <w:lang w:val="ka-GE"/>
        </w:rPr>
        <w:t>0</w:t>
      </w:r>
      <w:r w:rsidR="006951B3" w:rsidRPr="00A3752C">
        <w:rPr>
          <w:rFonts w:ascii="Sylfaen" w:hAnsi="Sylfaen"/>
          <w:b/>
          <w:sz w:val="20"/>
          <w:szCs w:val="20"/>
          <w:lang w:val="ka-GE"/>
        </w:rPr>
        <w:t>4</w:t>
      </w:r>
      <w:r w:rsidR="000C5D21" w:rsidRPr="00A3752C">
        <w:rPr>
          <w:rFonts w:ascii="Sylfaen" w:hAnsi="Sylfaen"/>
          <w:b/>
          <w:sz w:val="20"/>
          <w:szCs w:val="20"/>
          <w:lang w:val="ka-GE"/>
        </w:rPr>
        <w:t>/</w:t>
      </w:r>
      <w:r w:rsidR="002F3E36" w:rsidRPr="00A3752C">
        <w:rPr>
          <w:rFonts w:ascii="Sylfaen" w:hAnsi="Sylfaen"/>
          <w:b/>
          <w:sz w:val="20"/>
          <w:szCs w:val="20"/>
          <w:lang w:val="ka-GE"/>
        </w:rPr>
        <w:t>20</w:t>
      </w:r>
      <w:r w:rsidR="004A229F" w:rsidRPr="00A3752C">
        <w:rPr>
          <w:rFonts w:ascii="Sylfaen" w:hAnsi="Sylfaen"/>
          <w:b/>
          <w:sz w:val="20"/>
          <w:szCs w:val="20"/>
          <w:lang w:val="ka-GE"/>
        </w:rPr>
        <w:t>2</w:t>
      </w:r>
      <w:r w:rsidR="00336067" w:rsidRPr="00A3752C">
        <w:rPr>
          <w:rFonts w:ascii="Sylfaen" w:hAnsi="Sylfaen"/>
          <w:b/>
          <w:sz w:val="20"/>
          <w:szCs w:val="20"/>
          <w:lang w:val="ka-GE"/>
        </w:rPr>
        <w:t>5</w:t>
      </w:r>
    </w:p>
    <w:p w:rsidR="002F3E36" w:rsidRPr="00620269" w:rsidRDefault="002F3E36" w:rsidP="002F3E36">
      <w:pPr>
        <w:spacing w:after="0"/>
        <w:jc w:val="right"/>
        <w:rPr>
          <w:rFonts w:ascii="Sylfaen" w:hAnsi="Sylfaen"/>
          <w:b/>
          <w:sz w:val="20"/>
          <w:szCs w:val="20"/>
          <w:lang w:val="ka-GE"/>
        </w:rPr>
      </w:pPr>
    </w:p>
    <w:tbl>
      <w:tblPr>
        <w:tblStyle w:val="TableGrid"/>
        <w:tblW w:w="10925" w:type="dxa"/>
        <w:tblInd w:w="-318" w:type="dxa"/>
        <w:tblLook w:val="04A0" w:firstRow="1" w:lastRow="0" w:firstColumn="1" w:lastColumn="0" w:noHBand="0" w:noVBand="1"/>
      </w:tblPr>
      <w:tblGrid>
        <w:gridCol w:w="5529"/>
        <w:gridCol w:w="5396"/>
      </w:tblGrid>
      <w:tr w:rsidR="00486BC1" w:rsidRPr="00620269" w:rsidTr="00183170">
        <w:tc>
          <w:tcPr>
            <w:tcW w:w="5529" w:type="dxa"/>
          </w:tcPr>
          <w:p w:rsidR="00486BC1" w:rsidRPr="00620269" w:rsidRDefault="00486BC1" w:rsidP="00486BC1">
            <w:pPr>
              <w:pStyle w:val="ListParagraph"/>
              <w:widowControl w:val="0"/>
              <w:numPr>
                <w:ilvl w:val="0"/>
                <w:numId w:val="12"/>
              </w:numPr>
              <w:jc w:val="both"/>
              <w:rPr>
                <w:rFonts w:ascii="Sylfaen" w:hAnsi="Sylfaen" w:cs="Calibri"/>
                <w:b/>
                <w:bCs/>
                <w:color w:val="000000"/>
                <w:sz w:val="20"/>
                <w:szCs w:val="20"/>
                <w:lang w:val="tr-TR" w:eastAsia="tr-TR"/>
              </w:rPr>
            </w:pPr>
            <w:r w:rsidRPr="00620269">
              <w:rPr>
                <w:rFonts w:ascii="Sylfaen" w:hAnsi="Sylfaen" w:cs="Calibri"/>
                <w:b/>
                <w:bCs/>
                <w:color w:val="000000"/>
                <w:sz w:val="20"/>
                <w:szCs w:val="20"/>
                <w:lang w:val="ka-GE" w:eastAsia="tr-TR"/>
              </w:rPr>
              <w:t xml:space="preserve">საბანკო მომსახურების ხელშეკრულების სტანდარტული პირობების მეორე მუხლი </w:t>
            </w:r>
            <w:r w:rsidR="00B2537A" w:rsidRPr="00620269">
              <w:rPr>
                <w:rFonts w:ascii="Sylfaen" w:hAnsi="Sylfaen" w:cs="Calibri"/>
                <w:b/>
                <w:bCs/>
                <w:color w:val="000000"/>
                <w:sz w:val="20"/>
                <w:szCs w:val="20"/>
                <w:lang w:val="en-US" w:eastAsia="tr-TR"/>
              </w:rPr>
              <w:t xml:space="preserve">                         </w:t>
            </w:r>
            <w:r w:rsidRPr="00620269">
              <w:rPr>
                <w:rFonts w:ascii="Sylfaen" w:hAnsi="Sylfaen" w:cs="Calibri"/>
                <w:b/>
                <w:bCs/>
                <w:color w:val="000000"/>
                <w:sz w:val="20"/>
                <w:szCs w:val="20"/>
                <w:lang w:val="ka-GE" w:eastAsia="tr-TR"/>
              </w:rPr>
              <w:t>(„2. ანგარიშიდან ფულადი სახსრების ჩამოწერა და დავალების გაუქმება“) შეიცვალოს და ჩამოყალიბდეს შემდეგი რედაქციით:</w:t>
            </w:r>
          </w:p>
        </w:tc>
        <w:tc>
          <w:tcPr>
            <w:tcW w:w="5396" w:type="dxa"/>
          </w:tcPr>
          <w:p w:rsidR="00486BC1" w:rsidRPr="00620269" w:rsidRDefault="00486BC1" w:rsidP="00DB5A4D">
            <w:pPr>
              <w:pStyle w:val="ListParagraph"/>
              <w:numPr>
                <w:ilvl w:val="0"/>
                <w:numId w:val="9"/>
              </w:numPr>
              <w:ind w:left="349"/>
              <w:jc w:val="both"/>
              <w:rPr>
                <w:rFonts w:ascii="Sylfaen" w:hAnsi="Sylfaen" w:cs="Calibri"/>
                <w:color w:val="000000"/>
                <w:lang w:val="ka-GE" w:eastAsia="tr-TR"/>
              </w:rPr>
            </w:pPr>
            <w:r w:rsidRPr="00620269">
              <w:rPr>
                <w:rFonts w:ascii="Sylfaen" w:hAnsi="Sylfaen"/>
                <w:b/>
              </w:rPr>
              <w:t>Article</w:t>
            </w:r>
            <w:r w:rsidRPr="00620269">
              <w:rPr>
                <w:rFonts w:ascii="Sylfaen" w:hAnsi="Sylfaen"/>
                <w:b/>
                <w:lang w:val="ka-GE"/>
              </w:rPr>
              <w:t xml:space="preserve"> 2</w:t>
            </w:r>
            <w:r w:rsidRPr="00620269">
              <w:rPr>
                <w:rFonts w:ascii="Sylfaen" w:hAnsi="Sylfaen"/>
                <w:b/>
              </w:rPr>
              <w:t xml:space="preserve"> of the Standard Terms of Banking Services</w:t>
            </w:r>
            <w:r w:rsidRPr="00620269">
              <w:rPr>
                <w:rFonts w:ascii="Sylfaen" w:hAnsi="Sylfaen"/>
                <w:b/>
                <w:lang w:val="ka-GE"/>
              </w:rPr>
              <w:t xml:space="preserve"> </w:t>
            </w:r>
            <w:r w:rsidRPr="00620269">
              <w:rPr>
                <w:rFonts w:ascii="Sylfaen" w:hAnsi="Sylfaen"/>
                <w:b/>
              </w:rPr>
              <w:t>(„</w:t>
            </w:r>
            <w:r w:rsidR="00F85CEF">
              <w:rPr>
                <w:rFonts w:ascii="Sylfaen" w:hAnsi="Sylfaen"/>
                <w:b/>
              </w:rPr>
              <w:t>2.</w:t>
            </w:r>
            <w:r w:rsidRPr="00620269">
              <w:rPr>
                <w:rFonts w:ascii="Sylfaen" w:hAnsi="Sylfaen"/>
                <w:b/>
              </w:rPr>
              <w:t xml:space="preserve">Writing off from the Account and Cancellation of Payment Orders“) shall be amended and shall be construed as following: </w:t>
            </w:r>
            <w:r w:rsidRPr="00620269">
              <w:rPr>
                <w:rFonts w:ascii="Sylfaen" w:eastAsia="Calibri" w:hAnsi="Sylfaen" w:cs="Sylfaen"/>
                <w:b/>
                <w:noProof/>
              </w:rPr>
              <w:t xml:space="preserve"> </w:t>
            </w:r>
          </w:p>
          <w:p w:rsidR="00486BC1" w:rsidRPr="00620269" w:rsidRDefault="00486BC1" w:rsidP="00486BC1">
            <w:pPr>
              <w:jc w:val="both"/>
              <w:rPr>
                <w:rFonts w:ascii="Sylfaen" w:eastAsia="Times New Roman" w:hAnsi="Sylfaen" w:cs="Calibri"/>
                <w:b/>
                <w:color w:val="000000"/>
                <w:lang w:val="ka-GE" w:eastAsia="tr-TR"/>
              </w:rPr>
            </w:pPr>
          </w:p>
          <w:p w:rsidR="00486BC1" w:rsidRPr="00620269" w:rsidRDefault="00486BC1" w:rsidP="00486BC1">
            <w:pPr>
              <w:rPr>
                <w:rFonts w:ascii="Sylfaen" w:hAnsi="Sylfaen"/>
              </w:rPr>
            </w:pPr>
          </w:p>
        </w:tc>
      </w:tr>
      <w:tr w:rsidR="00486BC1" w:rsidRPr="00DD0928" w:rsidTr="00183170">
        <w:tc>
          <w:tcPr>
            <w:tcW w:w="5529" w:type="dxa"/>
          </w:tcPr>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b/>
                <w:bCs/>
                <w:color w:val="000000"/>
                <w:sz w:val="20"/>
                <w:szCs w:val="20"/>
                <w:lang w:val="ka-GE" w:eastAsia="tr-TR"/>
              </w:rPr>
              <w:t>2. ანგარიშიდან ფულადი სახსრების ჩამოწერა და დავალების გაუქმება</w:t>
            </w:r>
          </w:p>
          <w:p w:rsidR="00486BC1" w:rsidRPr="00620269" w:rsidRDefault="00486BC1" w:rsidP="00486BC1">
            <w:pPr>
              <w:widowControl w:val="0"/>
              <w:jc w:val="both"/>
              <w:rPr>
                <w:rFonts w:ascii="Sylfaen" w:eastAsia="Times New Roman" w:hAnsi="Sylfaen" w:cs="Calibri"/>
                <w:color w:val="000000"/>
                <w:sz w:val="20"/>
                <w:szCs w:val="20"/>
                <w:lang w:val="ka-GE" w:eastAsia="tr-TR"/>
              </w:rPr>
            </w:pP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 xml:space="preserve">2.1.კლიენტის ანგარიშიდან ფულადი სახსრების ჩამოწერა ხორციელდება, კლიენტის თანხმობით (წერილობითი ნებართა, დავალება, მოთხოვნა) ანგარიშის მფლობელის მიერ განსაზღვრული რიგითობით ან/და უაქცეპტოდ ერთიანი ხელშეკრულებით გათვალისწინებული წესით. </w:t>
            </w:r>
          </w:p>
          <w:p w:rsidR="00486BC1" w:rsidRPr="00620269" w:rsidRDefault="00486BC1" w:rsidP="00486BC1">
            <w:pPr>
              <w:widowControl w:val="0"/>
              <w:jc w:val="both"/>
              <w:rPr>
                <w:rFonts w:ascii="Sylfaen" w:eastAsia="Times New Roman" w:hAnsi="Sylfaen" w:cs="Calibri"/>
                <w:color w:val="000000"/>
                <w:sz w:val="20"/>
                <w:szCs w:val="20"/>
                <w:lang w:val="ka-GE" w:eastAsia="tr-TR"/>
              </w:rPr>
            </w:pPr>
            <w:bookmarkStart w:id="0" w:name="_GoBack"/>
            <w:bookmarkEnd w:id="0"/>
            <w:r w:rsidRPr="00620269">
              <w:rPr>
                <w:rFonts w:ascii="Sylfaen" w:eastAsia="Times New Roman" w:hAnsi="Sylfaen" w:cs="Calibri"/>
                <w:color w:val="000000"/>
                <w:sz w:val="20"/>
                <w:szCs w:val="20"/>
                <w:lang w:val="ka-GE" w:eastAsia="tr-TR"/>
              </w:rPr>
              <w:t>2.2.კლიენტის ანგარიშებიდან ბანკის მიერ უაქცეპტო წესით თანხების ჩამოწერა შესაძლებელია შემდეგ შემთხვევებში:</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2.2.1.საბანკო მომსახურებისთვის (საკომისიო სარგებელი) საფასურის გადასახდელად, ბანკის მოქმედი ტარიფების შესაბამისად;</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2.2.2.ბანკის მიერ შეცდომით ჩარიცხული თანხების უკან დასაბრუნებლად;</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2.2.3.ბანკის წინაშე არსებული ნებისმიერი სახის დავალიანების დასაფარავად ან ვალდებულების შესასრულებლად. იმ შემთხვევაში, თუ დავალიანება დაფიქსირებულია ანგარიშზე არსებული ვალუ</w:t>
            </w:r>
            <w:r w:rsidR="00E54691">
              <w:rPr>
                <w:rFonts w:ascii="Sylfaen" w:eastAsia="Times New Roman" w:hAnsi="Sylfaen" w:cs="Calibri"/>
                <w:color w:val="000000"/>
                <w:sz w:val="20"/>
                <w:szCs w:val="20"/>
                <w:lang w:val="ka-GE" w:eastAsia="tr-TR"/>
              </w:rPr>
              <w:t>ტ</w:t>
            </w:r>
            <w:r w:rsidRPr="00620269">
              <w:rPr>
                <w:rFonts w:ascii="Sylfaen" w:eastAsia="Times New Roman" w:hAnsi="Sylfaen" w:cs="Calibri"/>
                <w:color w:val="000000"/>
                <w:sz w:val="20"/>
                <w:szCs w:val="20"/>
                <w:lang w:val="ka-GE" w:eastAsia="tr-TR"/>
              </w:rPr>
              <w:t>ისგან განსხვავებით სხვა ვალუტაში, ბანკი უფლებამოსილია განახორციელოს კონვერტაცია,რომლის ექვივალენტი დგინდება ბანკის მიერ თანხის ჩამოწერის მომენტისათვის ბანკში დადგენილი კურსით.</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2.2.4.ბიუჯეტში და მასთან გათანაბრებული გადასახდელებისას;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2.2.5.სასამართლო კანონიერ ძალაში შესული გადაწყვეტილების საფუძველზე;</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2.2.6.სააღსრულებო/საგადასახადო და კანონმდებლობით ამისათვის უფლებამოსილი ორგანოების მომართვისას;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2.2.7.მოქმედი კანონმდებლობით გათვალისწინებულ სხვა შემთხვევებში.</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2.3.იმ შემთხვევაში, თუ ჩამოსაწერი თანხა ანგარიშზე არსებული ვალუტისგან განსხვავებულია (სხვა ვალუტაშია), ბანკი უფლებამოსილია განახორციელოს თანხების კონვერტაცია, რომლის ექვივალენტი დგინდება ბანკის მიერ თანხის ჩამოწერის მომენტისათვის ბანკში დადგენილი კურსით</w:t>
            </w:r>
            <w:r w:rsidR="00FB19F8" w:rsidRPr="00620269">
              <w:rPr>
                <w:rFonts w:ascii="Sylfaen" w:eastAsia="Times New Roman" w:hAnsi="Sylfaen" w:cs="Calibri"/>
                <w:color w:val="000000"/>
                <w:sz w:val="20"/>
                <w:szCs w:val="20"/>
                <w:lang w:val="ka-GE" w:eastAsia="tr-TR"/>
              </w:rPr>
              <w:t>, გარდა 2.4. მუხლით გათვალისწინებული შემთხვევებისა</w:t>
            </w:r>
            <w:r w:rsidRPr="00620269">
              <w:rPr>
                <w:rFonts w:ascii="Sylfaen" w:eastAsia="Times New Roman" w:hAnsi="Sylfaen" w:cs="Calibri"/>
                <w:color w:val="000000"/>
                <w:sz w:val="20"/>
                <w:szCs w:val="20"/>
                <w:lang w:val="ka-GE" w:eastAsia="tr-TR"/>
              </w:rPr>
              <w:t>.</w:t>
            </w:r>
          </w:p>
          <w:p w:rsidR="006C08FC" w:rsidRPr="00620269" w:rsidRDefault="006C08FC" w:rsidP="006C08FC">
            <w:pPr>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 xml:space="preserve">2.4. თუ საინკასო დავალების ვალუტის ანგარიშზე (ანგარიშებზე) არ არის თანხა ან არის არასაკმარისი თანხა დავალების შესასრულებლად, მაშინ ბანკი ვალდებულია </w:t>
            </w:r>
            <w:r w:rsidRPr="00620269">
              <w:rPr>
                <w:rFonts w:ascii="Sylfaen" w:eastAsia="Times New Roman" w:hAnsi="Sylfaen" w:cs="Calibri"/>
                <w:color w:val="000000"/>
                <w:sz w:val="20"/>
                <w:szCs w:val="20"/>
                <w:lang w:val="ka-GE" w:eastAsia="tr-TR"/>
              </w:rPr>
              <w:lastRenderedPageBreak/>
              <w:t>შეუსრულებელი თანხის ოდენობით განახორციელოს კლიენტის სხვა ვალუტის ანგარიშზე (ანგარიშებზე) არსებული თანხის კონვერტაცია საინკასო დავალების ვალუტაში და შეასრულოს საინკასო დავალება.  კონვერტაცია ხდება ეროვნული ბანკის მიერ დადგენილი კურსით, ხოლო საინკასო დავალების შესრულებასთან დაკავშირებული საკომისიო (გადარიცხვის საკომისიო, კონვერტაციის საკომისიო) განსაზღვრულია ბანკის მიერ დადგენილი ტარიფებით.</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w:t>
            </w:r>
            <w:r w:rsidR="006C08FC" w:rsidRPr="00620269">
              <w:rPr>
                <w:rFonts w:ascii="Sylfaen" w:eastAsia="Times New Roman" w:hAnsi="Sylfaen" w:cs="Calibri"/>
                <w:color w:val="000000"/>
                <w:sz w:val="20"/>
                <w:szCs w:val="20"/>
                <w:lang w:val="ka-GE" w:eastAsia="tr-TR"/>
              </w:rPr>
              <w:t>5</w:t>
            </w:r>
            <w:r w:rsidRPr="00620269">
              <w:rPr>
                <w:rFonts w:ascii="Sylfaen" w:eastAsia="Times New Roman" w:hAnsi="Sylfaen" w:cs="Calibri"/>
                <w:color w:val="000000"/>
                <w:sz w:val="20"/>
                <w:szCs w:val="20"/>
                <w:lang w:val="ka-GE" w:eastAsia="tr-TR"/>
              </w:rPr>
              <w:t>.კლიენტის მიერ ბანკისთვის მიცემული დავალების გაუქმება შეიძლება, ბანკთან შეთანხმებით მხოლოდ იმ შემთხვევაში, თუ აღნიშნული დავალება ჯერ არ შესრულებულა და მისი გაუქმება არ ეწინააღმდეგება საქართველოს მოქმედ კანონმდებლობას, ან იმ ვალდებულების არსს, რომლის შესასრულებლადაც გაიცა დავალება. ასევე, დავალების გაუქმება არ შეიძლება იმ შემთხვევაში, თუ ბანკის მიერ უკვე გაცემულია დოკუმენტი, რომელიც ადასტურებს დავალების შესრულებას.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p>
          <w:p w:rsidR="00486BC1" w:rsidRPr="00620269" w:rsidRDefault="00486BC1" w:rsidP="00486BC1">
            <w:pPr>
              <w:widowControl w:val="0"/>
              <w:jc w:val="both"/>
              <w:rPr>
                <w:rFonts w:ascii="Sylfaen" w:eastAsia="Times New Roman" w:hAnsi="Sylfaen" w:cs="Calibri"/>
                <w:color w:val="000000"/>
                <w:sz w:val="20"/>
                <w:szCs w:val="20"/>
                <w:lang w:val="tr-TR" w:eastAsia="tr-TR"/>
              </w:rPr>
            </w:pPr>
          </w:p>
        </w:tc>
        <w:tc>
          <w:tcPr>
            <w:tcW w:w="5396" w:type="dxa"/>
          </w:tcPr>
          <w:p w:rsidR="00486BC1" w:rsidRPr="00620269" w:rsidRDefault="00486BC1" w:rsidP="00486BC1">
            <w:pPr>
              <w:widowControl w:val="0"/>
              <w:rPr>
                <w:rFonts w:ascii="Sylfaen" w:eastAsia="Times New Roman" w:hAnsi="Sylfaen" w:cs="Calibri"/>
                <w:b/>
                <w:bCs/>
                <w:color w:val="000000"/>
                <w:lang w:val="ka-GE" w:eastAsia="tr-TR"/>
              </w:rPr>
            </w:pPr>
            <w:r w:rsidRPr="00620269">
              <w:rPr>
                <w:rFonts w:ascii="Sylfaen" w:eastAsia="Times New Roman" w:hAnsi="Sylfaen" w:cs="Calibri"/>
                <w:b/>
                <w:bCs/>
                <w:color w:val="000000"/>
                <w:lang w:val="ka-GE" w:eastAsia="tr-TR"/>
              </w:rPr>
              <w:lastRenderedPageBreak/>
              <w:t>2. Writing off from the Account and Cancellation of Payment Orders</w:t>
            </w:r>
          </w:p>
          <w:p w:rsidR="005D618E" w:rsidRPr="00620269" w:rsidRDefault="005D618E" w:rsidP="00486BC1">
            <w:pPr>
              <w:widowControl w:val="0"/>
              <w:rPr>
                <w:rFonts w:ascii="Sylfaen" w:eastAsia="Times New Roman" w:hAnsi="Sylfaen" w:cs="Calibri"/>
                <w:b/>
                <w:bCs/>
                <w:color w:val="000000"/>
                <w:lang w:val="ka-GE" w:eastAsia="tr-TR"/>
              </w:rPr>
            </w:pP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ka-GE" w:eastAsia="tr-TR"/>
              </w:rPr>
              <w:t xml:space="preserve">2.1.Writing off from Client’s account is performed with the </w:t>
            </w:r>
            <w:r w:rsidRPr="00620269">
              <w:rPr>
                <w:rFonts w:ascii="Sylfaen" w:eastAsia="Times New Roman" w:hAnsi="Sylfaen" w:cs="Calibri"/>
                <w:color w:val="000000"/>
                <w:lang w:val="en-GB" w:eastAsia="tr-TR"/>
              </w:rPr>
              <w:t xml:space="preserve">consent of the Client (written consent, order, agreement) in the order defined by the Client, unless a unilateral write-off procedure is applicable via Entire Agreement and/or Legislation. </w:t>
            </w: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en-GB" w:eastAsia="tr-TR"/>
              </w:rPr>
              <w:t>2.2.A unilateral write-off from the Client’s account by the Bank is allowed in the following circumstances:</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2.2.1.   For covering Bank fees and charges, in accordance with Bank tariffs in force at the given moment;</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2.2.2.   For returning amounts, transferred by Bank error;</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2.2.3.  For covering any type of indebtness or obligation towards the Bank. In case of the necessity to convert the amount for coverage purposes, the conversion shall be made at the expense of the Client at the commercial exchange rate of the Bank as of the date of conversion;</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2.2.4.  For payments made to state budget or any other payment, declared equal to such;</w:t>
            </w: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en-GB" w:eastAsia="tr-TR"/>
              </w:rPr>
              <w:t>2.2.5.</w:t>
            </w:r>
            <w:r w:rsidRPr="00620269">
              <w:rPr>
                <w:rFonts w:ascii="Times New Roman" w:eastAsia="Times New Roman" w:hAnsi="Times New Roman"/>
                <w:color w:val="000000"/>
                <w:sz w:val="14"/>
                <w:szCs w:val="14"/>
                <w:lang w:val="en-GB" w:eastAsia="tr-TR"/>
              </w:rPr>
              <w:t>  </w:t>
            </w:r>
            <w:r w:rsidRPr="00620269">
              <w:rPr>
                <w:rFonts w:ascii="Sylfaen" w:eastAsia="Times New Roman" w:hAnsi="Sylfaen" w:cs="Calibri"/>
                <w:color w:val="000000"/>
                <w:lang w:val="en-GB" w:eastAsia="tr-TR"/>
              </w:rPr>
              <w:t>On the basis of Court Ruling (Decision) entered into force;</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2.2.6.  Upon the request of an Enforcement/Tax Legislation entity or other entity, accordingly authorized by Law;</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2.2.7.   Other cases as described by Legislation.</w:t>
            </w:r>
          </w:p>
          <w:p w:rsidR="005D618E" w:rsidRPr="00620269" w:rsidRDefault="005D618E" w:rsidP="005D618E">
            <w:pPr>
              <w:widowControl w:val="0"/>
              <w:jc w:val="both"/>
              <w:rPr>
                <w:rFonts w:ascii="Sylfaen" w:eastAsia="Times New Roman" w:hAnsi="Sylfaen" w:cs="Calibri"/>
                <w:color w:val="000000"/>
                <w:lang w:eastAsia="tr-TR"/>
              </w:rPr>
            </w:pPr>
            <w:r w:rsidRPr="00620269">
              <w:rPr>
                <w:rFonts w:ascii="Sylfaen" w:eastAsia="Times New Roman" w:hAnsi="Sylfaen" w:cs="Calibri"/>
                <w:color w:val="000000"/>
                <w:lang w:val="en-GB" w:eastAsia="tr-TR"/>
              </w:rPr>
              <w:t>2.3.</w:t>
            </w:r>
            <w:r w:rsidRPr="00620269">
              <w:rPr>
                <w:rFonts w:ascii="Sylfaen" w:eastAsia="Times New Roman" w:hAnsi="Sylfaen" w:cs="Calibri"/>
                <w:color w:val="000000"/>
                <w:lang w:val="ka-GE" w:eastAsia="tr-TR"/>
              </w:rPr>
              <w:t xml:space="preserve"> </w:t>
            </w:r>
            <w:r w:rsidRPr="00620269">
              <w:rPr>
                <w:rFonts w:ascii="Sylfaen" w:eastAsia="Times New Roman" w:hAnsi="Sylfaen" w:cs="Calibri"/>
                <w:color w:val="000000"/>
                <w:lang w:val="en-GB" w:eastAsia="tr-TR"/>
              </w:rPr>
              <w:t>In case of the necessity to convert amounts for write-off purposes, the conversion shall be made at the expense of the Client at the commercial exchange rate of the Ba</w:t>
            </w:r>
            <w:r w:rsidR="00FB19F8" w:rsidRPr="00620269">
              <w:rPr>
                <w:rFonts w:ascii="Sylfaen" w:eastAsia="Times New Roman" w:hAnsi="Sylfaen" w:cs="Calibri"/>
                <w:color w:val="000000"/>
                <w:lang w:val="en-GB" w:eastAsia="tr-TR"/>
              </w:rPr>
              <w:t xml:space="preserve">nk as of the date of conversion, </w:t>
            </w:r>
            <w:r w:rsidR="00FB19F8" w:rsidRPr="00620269">
              <w:rPr>
                <w:rFonts w:ascii="Sylfaen" w:eastAsia="Times New Roman" w:hAnsi="Sylfaen" w:cs="Calibri"/>
                <w:color w:val="000000"/>
                <w:lang w:eastAsia="tr-TR"/>
              </w:rPr>
              <w:t>except cases, indicated in art. 2.4.</w:t>
            </w:r>
          </w:p>
          <w:p w:rsidR="00964350" w:rsidRPr="00620269" w:rsidRDefault="00964350"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en-GB" w:eastAsia="tr-TR"/>
              </w:rPr>
              <w:t xml:space="preserve">2.4. If there is no money in the account(s) in the currency of the collection order or there is insufficient money to execute the order, then the Bank is obliged to convert the money in the account(s) of the Client in another currency into the currency of the collection order in the amount of the unexecuted money and execute the collection order. The conversion is carried out at the </w:t>
            </w:r>
            <w:r w:rsidRPr="00620269">
              <w:rPr>
                <w:rFonts w:ascii="Sylfaen" w:eastAsia="Times New Roman" w:hAnsi="Sylfaen" w:cs="Calibri"/>
                <w:color w:val="000000"/>
                <w:lang w:val="en-GB" w:eastAsia="tr-TR"/>
              </w:rPr>
              <w:lastRenderedPageBreak/>
              <w:t>exchange rate established by the National Bank, and the commission related to the execution of the collection order (transfer fee, conversion fee) is determined by the tariffs established by the Bank.</w:t>
            </w:r>
          </w:p>
          <w:p w:rsidR="005D618E"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en-GB" w:eastAsia="tr-TR"/>
              </w:rPr>
              <w:t>2.</w:t>
            </w:r>
            <w:r w:rsidR="00964350" w:rsidRPr="00620269">
              <w:rPr>
                <w:rFonts w:ascii="Sylfaen" w:eastAsia="Times New Roman" w:hAnsi="Sylfaen" w:cs="Calibri"/>
                <w:color w:val="000000"/>
                <w:lang w:val="en-GB" w:eastAsia="tr-TR"/>
              </w:rPr>
              <w:t>5</w:t>
            </w:r>
            <w:r w:rsidRPr="00620269">
              <w:rPr>
                <w:rFonts w:ascii="Sylfaen" w:eastAsia="Times New Roman" w:hAnsi="Sylfaen" w:cs="Calibri"/>
                <w:color w:val="000000"/>
                <w:lang w:val="en-GB" w:eastAsia="tr-TR"/>
              </w:rPr>
              <w:t xml:space="preserve">. A payment order, made by the Client to the Bank, may be cancelled, upon the agreement with the Bank, only if the order in question has not been yet executed and its cancellation does not violate the </w:t>
            </w:r>
            <w:r w:rsidR="005C2067">
              <w:rPr>
                <w:rFonts w:ascii="Sylfaen" w:eastAsia="Times New Roman" w:hAnsi="Sylfaen" w:cs="Calibri"/>
                <w:color w:val="000000"/>
                <w:lang w:val="en-GB" w:eastAsia="tr-TR"/>
              </w:rPr>
              <w:t>l</w:t>
            </w:r>
            <w:r w:rsidR="005C2067" w:rsidRPr="00620269">
              <w:rPr>
                <w:rFonts w:ascii="Sylfaen" w:eastAsia="Times New Roman" w:hAnsi="Sylfaen" w:cs="Calibri"/>
                <w:color w:val="000000"/>
                <w:lang w:val="en-GB" w:eastAsia="tr-TR"/>
              </w:rPr>
              <w:t>egislation</w:t>
            </w:r>
            <w:r w:rsidRPr="00620269">
              <w:rPr>
                <w:rFonts w:ascii="Sylfaen" w:eastAsia="Times New Roman" w:hAnsi="Sylfaen" w:cs="Calibri"/>
                <w:color w:val="000000"/>
                <w:lang w:val="en-GB" w:eastAsia="tr-TR"/>
              </w:rPr>
              <w:t xml:space="preserve"> or the essence </w:t>
            </w:r>
            <w:r w:rsidR="006951B3" w:rsidRPr="00620269">
              <w:rPr>
                <w:rFonts w:ascii="Sylfaen" w:eastAsia="Times New Roman" w:hAnsi="Sylfaen" w:cs="Calibri"/>
                <w:color w:val="000000"/>
                <w:lang w:val="en-GB" w:eastAsia="tr-TR"/>
              </w:rPr>
              <w:t>of the obligation, for the fulfilment</w:t>
            </w:r>
            <w:r w:rsidRPr="00620269">
              <w:rPr>
                <w:rFonts w:ascii="Sylfaen" w:eastAsia="Times New Roman" w:hAnsi="Sylfaen" w:cs="Calibri"/>
                <w:color w:val="000000"/>
                <w:lang w:val="en-GB" w:eastAsia="tr-TR"/>
              </w:rPr>
              <w:t xml:space="preserve"> of which the order in question was made. Also, the cancellation of the payment order is not allowed if an according document, confirming the execution of the payment order, has been already issued by the Bank.</w:t>
            </w:r>
          </w:p>
          <w:p w:rsidR="005D618E" w:rsidRPr="00637133" w:rsidRDefault="005D618E" w:rsidP="00486BC1">
            <w:pPr>
              <w:widowControl w:val="0"/>
              <w:rPr>
                <w:rFonts w:ascii="Sylfaen" w:eastAsia="Times New Roman" w:hAnsi="Sylfaen" w:cs="Calibri"/>
                <w:b/>
                <w:bCs/>
                <w:color w:val="000000"/>
                <w:lang w:val="tr-TR" w:eastAsia="tr-TR"/>
              </w:rPr>
            </w:pPr>
          </w:p>
        </w:tc>
      </w:tr>
    </w:tbl>
    <w:p w:rsidR="00501F80" w:rsidRDefault="00501F80" w:rsidP="00945020">
      <w:pPr>
        <w:spacing w:after="0"/>
        <w:rPr>
          <w:rFonts w:ascii="Sylfaen" w:hAnsi="Sylfaen"/>
          <w:b/>
          <w:sz w:val="20"/>
          <w:szCs w:val="20"/>
          <w:lang w:val="en-GB"/>
        </w:rPr>
      </w:pPr>
    </w:p>
    <w:p w:rsidR="00501F80" w:rsidRPr="00501F80" w:rsidRDefault="00501F80">
      <w:pPr>
        <w:spacing w:after="0"/>
        <w:rPr>
          <w:rFonts w:ascii="Sylfaen" w:hAnsi="Sylfaen" w:cs="Sylfaen"/>
          <w:sz w:val="20"/>
          <w:szCs w:val="20"/>
          <w:lang w:val="ka-GE" w:eastAsia="tr-TR"/>
        </w:rPr>
      </w:pPr>
    </w:p>
    <w:sectPr w:rsidR="00501F80" w:rsidRPr="00501F80" w:rsidSect="00B86B2C">
      <w:footerReference w:type="default" r:id="rId8"/>
      <w:pgSz w:w="12240" w:h="15840"/>
      <w:pgMar w:top="426" w:right="474" w:bottom="993" w:left="851"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E2" w:rsidRDefault="00B82EE2" w:rsidP="00372001">
      <w:pPr>
        <w:spacing w:after="0" w:line="240" w:lineRule="auto"/>
      </w:pPr>
      <w:r>
        <w:separator/>
      </w:r>
    </w:p>
  </w:endnote>
  <w:endnote w:type="continuationSeparator" w:id="0">
    <w:p w:rsidR="00B82EE2" w:rsidRDefault="00B82EE2" w:rsidP="0037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33615"/>
      <w:docPartObj>
        <w:docPartGallery w:val="Page Numbers (Bottom of Page)"/>
        <w:docPartUnique/>
      </w:docPartObj>
    </w:sdtPr>
    <w:sdtEndPr/>
    <w:sdtContent>
      <w:p w:rsidR="00F703B1" w:rsidRDefault="00F703B1">
        <w:pPr>
          <w:pStyle w:val="Footer"/>
          <w:jc w:val="right"/>
        </w:pPr>
        <w:r>
          <w:fldChar w:fldCharType="begin"/>
        </w:r>
        <w:r>
          <w:instrText>PAGE   \* MERGEFORMAT</w:instrText>
        </w:r>
        <w:r>
          <w:fldChar w:fldCharType="separate"/>
        </w:r>
        <w:r w:rsidR="00BE0220" w:rsidRPr="00BE0220">
          <w:rPr>
            <w:noProof/>
            <w:lang w:val="tr-TR"/>
          </w:rPr>
          <w:t>2</w:t>
        </w:r>
        <w:r>
          <w:fldChar w:fldCharType="end"/>
        </w:r>
      </w:p>
    </w:sdtContent>
  </w:sdt>
  <w:p w:rsidR="00F703B1" w:rsidRDefault="00F7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E2" w:rsidRDefault="00B82EE2" w:rsidP="00372001">
      <w:pPr>
        <w:spacing w:after="0" w:line="240" w:lineRule="auto"/>
      </w:pPr>
      <w:r>
        <w:separator/>
      </w:r>
    </w:p>
  </w:footnote>
  <w:footnote w:type="continuationSeparator" w:id="0">
    <w:p w:rsidR="00B82EE2" w:rsidRDefault="00B82EE2" w:rsidP="00372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85A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5442"/>
    <w:multiLevelType w:val="multilevel"/>
    <w:tmpl w:val="2D50D654"/>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8217FB"/>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50FD7"/>
    <w:multiLevelType w:val="hybridMultilevel"/>
    <w:tmpl w:val="6F36EF4C"/>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4" w15:restartNumberingAfterBreak="0">
    <w:nsid w:val="2B48264A"/>
    <w:multiLevelType w:val="hybridMultilevel"/>
    <w:tmpl w:val="DFB49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E42270"/>
    <w:multiLevelType w:val="hybridMultilevel"/>
    <w:tmpl w:val="58EC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6130B"/>
    <w:multiLevelType w:val="multilevel"/>
    <w:tmpl w:val="8AAA01B6"/>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526401"/>
    <w:multiLevelType w:val="hybridMultilevel"/>
    <w:tmpl w:val="237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3B03"/>
    <w:multiLevelType w:val="multilevel"/>
    <w:tmpl w:val="37ECAB48"/>
    <w:lvl w:ilvl="0">
      <w:start w:val="5"/>
      <w:numFmt w:val="decimal"/>
      <w:lvlText w:val="%1."/>
      <w:lvlJc w:val="left"/>
      <w:pPr>
        <w:ind w:left="468" w:hanging="468"/>
      </w:pPr>
      <w:rPr>
        <w:rFonts w:ascii="Sylfaen" w:hAnsi="Sylfaen" w:hint="default"/>
      </w:rPr>
    </w:lvl>
    <w:lvl w:ilvl="1">
      <w:start w:val="2"/>
      <w:numFmt w:val="decimal"/>
      <w:lvlText w:val="%1.%2."/>
      <w:lvlJc w:val="left"/>
      <w:pPr>
        <w:ind w:left="468" w:hanging="468"/>
      </w:pPr>
      <w:rPr>
        <w:rFonts w:ascii="Sylfaen" w:hAnsi="Sylfaen" w:hint="default"/>
      </w:rPr>
    </w:lvl>
    <w:lvl w:ilvl="2">
      <w:start w:val="7"/>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52B7087C"/>
    <w:multiLevelType w:val="multilevel"/>
    <w:tmpl w:val="6D7A3894"/>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862B4"/>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54B6B"/>
    <w:multiLevelType w:val="hybridMultilevel"/>
    <w:tmpl w:val="14FAFD8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2"/>
  </w:num>
  <w:num w:numId="8">
    <w:abstractNumId w:val="5"/>
  </w:num>
  <w:num w:numId="9">
    <w:abstractNumId w:val="4"/>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30"/>
    <w:rsid w:val="00004D6A"/>
    <w:rsid w:val="00025B59"/>
    <w:rsid w:val="000325BD"/>
    <w:rsid w:val="00033212"/>
    <w:rsid w:val="0004116F"/>
    <w:rsid w:val="00071936"/>
    <w:rsid w:val="00072937"/>
    <w:rsid w:val="00080A39"/>
    <w:rsid w:val="000934AF"/>
    <w:rsid w:val="0009359F"/>
    <w:rsid w:val="000C5D21"/>
    <w:rsid w:val="000E7F30"/>
    <w:rsid w:val="000F0755"/>
    <w:rsid w:val="000F3932"/>
    <w:rsid w:val="00106958"/>
    <w:rsid w:val="00114CFC"/>
    <w:rsid w:val="00132F9A"/>
    <w:rsid w:val="00174B67"/>
    <w:rsid w:val="00183170"/>
    <w:rsid w:val="00190857"/>
    <w:rsid w:val="001B11BB"/>
    <w:rsid w:val="001C34F6"/>
    <w:rsid w:val="001E1A02"/>
    <w:rsid w:val="002036E6"/>
    <w:rsid w:val="00225C7F"/>
    <w:rsid w:val="00237511"/>
    <w:rsid w:val="00243D72"/>
    <w:rsid w:val="00266525"/>
    <w:rsid w:val="00271384"/>
    <w:rsid w:val="002769AB"/>
    <w:rsid w:val="002F3E36"/>
    <w:rsid w:val="00303B03"/>
    <w:rsid w:val="003246C5"/>
    <w:rsid w:val="003276D8"/>
    <w:rsid w:val="00327E01"/>
    <w:rsid w:val="00336067"/>
    <w:rsid w:val="00344DC5"/>
    <w:rsid w:val="00372001"/>
    <w:rsid w:val="003D2C86"/>
    <w:rsid w:val="003F5AB1"/>
    <w:rsid w:val="003F73D2"/>
    <w:rsid w:val="004019AB"/>
    <w:rsid w:val="00442B78"/>
    <w:rsid w:val="00450CB8"/>
    <w:rsid w:val="004557C2"/>
    <w:rsid w:val="004569F6"/>
    <w:rsid w:val="00461228"/>
    <w:rsid w:val="00485A14"/>
    <w:rsid w:val="00486BC1"/>
    <w:rsid w:val="004A229F"/>
    <w:rsid w:val="004B7D6C"/>
    <w:rsid w:val="004C058D"/>
    <w:rsid w:val="004F3305"/>
    <w:rsid w:val="00501F80"/>
    <w:rsid w:val="005029E3"/>
    <w:rsid w:val="00565FA5"/>
    <w:rsid w:val="00566EAA"/>
    <w:rsid w:val="00570910"/>
    <w:rsid w:val="0058641A"/>
    <w:rsid w:val="005A2D22"/>
    <w:rsid w:val="005C2067"/>
    <w:rsid w:val="005D0B30"/>
    <w:rsid w:val="005D60F0"/>
    <w:rsid w:val="005D618E"/>
    <w:rsid w:val="00620269"/>
    <w:rsid w:val="00640A0F"/>
    <w:rsid w:val="00670162"/>
    <w:rsid w:val="006951B3"/>
    <w:rsid w:val="00697832"/>
    <w:rsid w:val="006A2553"/>
    <w:rsid w:val="006C08FC"/>
    <w:rsid w:val="006C53A4"/>
    <w:rsid w:val="006D1DAA"/>
    <w:rsid w:val="00767F86"/>
    <w:rsid w:val="0079108C"/>
    <w:rsid w:val="007B3BA5"/>
    <w:rsid w:val="007D7B60"/>
    <w:rsid w:val="007F0F5E"/>
    <w:rsid w:val="00805339"/>
    <w:rsid w:val="00860332"/>
    <w:rsid w:val="008709F2"/>
    <w:rsid w:val="0087203B"/>
    <w:rsid w:val="00885B7C"/>
    <w:rsid w:val="00892FE2"/>
    <w:rsid w:val="008C3413"/>
    <w:rsid w:val="008D3B0A"/>
    <w:rsid w:val="008D4263"/>
    <w:rsid w:val="008F02E1"/>
    <w:rsid w:val="00916BC3"/>
    <w:rsid w:val="00933767"/>
    <w:rsid w:val="00945020"/>
    <w:rsid w:val="00964350"/>
    <w:rsid w:val="009B58D5"/>
    <w:rsid w:val="009B799B"/>
    <w:rsid w:val="009C32DD"/>
    <w:rsid w:val="009D4229"/>
    <w:rsid w:val="00A117FD"/>
    <w:rsid w:val="00A36177"/>
    <w:rsid w:val="00A3752C"/>
    <w:rsid w:val="00A663AD"/>
    <w:rsid w:val="00AD0F88"/>
    <w:rsid w:val="00AF3560"/>
    <w:rsid w:val="00B00C9A"/>
    <w:rsid w:val="00B2537A"/>
    <w:rsid w:val="00B26C1B"/>
    <w:rsid w:val="00B35658"/>
    <w:rsid w:val="00B568C0"/>
    <w:rsid w:val="00B82EE2"/>
    <w:rsid w:val="00B86091"/>
    <w:rsid w:val="00B86B2C"/>
    <w:rsid w:val="00BA5251"/>
    <w:rsid w:val="00BB5618"/>
    <w:rsid w:val="00BB6D87"/>
    <w:rsid w:val="00BE0220"/>
    <w:rsid w:val="00BE1014"/>
    <w:rsid w:val="00C27592"/>
    <w:rsid w:val="00C55004"/>
    <w:rsid w:val="00C5627E"/>
    <w:rsid w:val="00C64702"/>
    <w:rsid w:val="00CD2A1E"/>
    <w:rsid w:val="00D5754C"/>
    <w:rsid w:val="00DA0F7F"/>
    <w:rsid w:val="00DB5AC5"/>
    <w:rsid w:val="00DD0928"/>
    <w:rsid w:val="00E20F0A"/>
    <w:rsid w:val="00E54691"/>
    <w:rsid w:val="00E67E47"/>
    <w:rsid w:val="00EB5E3E"/>
    <w:rsid w:val="00EC0E50"/>
    <w:rsid w:val="00ED603B"/>
    <w:rsid w:val="00F07EC5"/>
    <w:rsid w:val="00F23B4A"/>
    <w:rsid w:val="00F26F08"/>
    <w:rsid w:val="00F34C13"/>
    <w:rsid w:val="00F43AA1"/>
    <w:rsid w:val="00F57753"/>
    <w:rsid w:val="00F703B1"/>
    <w:rsid w:val="00F77093"/>
    <w:rsid w:val="00F85CEF"/>
    <w:rsid w:val="00FA6D8E"/>
    <w:rsid w:val="00FB19F8"/>
    <w:rsid w:val="00FE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56AAC-07D4-465B-BB91-DBD442FC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25C7F"/>
    <w:pPr>
      <w:spacing w:after="240" w:line="240" w:lineRule="auto"/>
      <w:ind w:left="720" w:hanging="720"/>
      <w:jc w:val="both"/>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5020"/>
    <w:rPr>
      <w:color w:val="0000FF"/>
      <w:u w:val="single"/>
    </w:rPr>
  </w:style>
  <w:style w:type="paragraph" w:styleId="ListParagraph">
    <w:name w:val="List Paragraph"/>
    <w:basedOn w:val="Normal"/>
    <w:uiPriority w:val="34"/>
    <w:qFormat/>
    <w:rsid w:val="00106958"/>
    <w:pPr>
      <w:ind w:left="720"/>
      <w:contextualSpacing/>
    </w:pPr>
    <w:rPr>
      <w:rFonts w:ascii="Calibri" w:eastAsia="Times New Roman" w:hAnsi="Calibri" w:cs="Times New Roman"/>
      <w:lang w:val="en-GB"/>
    </w:rPr>
  </w:style>
  <w:style w:type="paragraph" w:customStyle="1" w:styleId="Default">
    <w:name w:val="Default"/>
    <w:rsid w:val="00CD2A1E"/>
    <w:pPr>
      <w:autoSpaceDE w:val="0"/>
      <w:autoSpaceDN w:val="0"/>
      <w:adjustRightInd w:val="0"/>
      <w:spacing w:after="0" w:line="240" w:lineRule="auto"/>
    </w:pPr>
    <w:rPr>
      <w:rFonts w:ascii="LitNusx" w:eastAsia="Calibri" w:hAnsi="LitNusx" w:cs="LitNusx"/>
      <w:color w:val="000000"/>
      <w:sz w:val="24"/>
      <w:szCs w:val="24"/>
      <w:lang w:val="ru-RU" w:eastAsia="ru-RU"/>
    </w:rPr>
  </w:style>
  <w:style w:type="paragraph" w:styleId="Header">
    <w:name w:val="header"/>
    <w:basedOn w:val="Normal"/>
    <w:link w:val="HeaderChar"/>
    <w:uiPriority w:val="99"/>
    <w:unhideWhenUsed/>
    <w:rsid w:val="003720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372001"/>
  </w:style>
  <w:style w:type="paragraph" w:styleId="Footer">
    <w:name w:val="footer"/>
    <w:basedOn w:val="Normal"/>
    <w:link w:val="FooterChar"/>
    <w:uiPriority w:val="99"/>
    <w:unhideWhenUsed/>
    <w:rsid w:val="003720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372001"/>
  </w:style>
  <w:style w:type="character" w:customStyle="1" w:styleId="Heading2Char">
    <w:name w:val="Heading 2 Char"/>
    <w:basedOn w:val="DefaultParagraphFont"/>
    <w:link w:val="Heading2"/>
    <w:uiPriority w:val="9"/>
    <w:rsid w:val="00225C7F"/>
    <w:rPr>
      <w:rFonts w:ascii="Times New Roman" w:hAnsi="Times New Roman" w:cs="Times New Roman"/>
    </w:rPr>
  </w:style>
  <w:style w:type="character" w:customStyle="1" w:styleId="rynqvb">
    <w:name w:val="rynqvb"/>
    <w:basedOn w:val="DefaultParagraphFont"/>
    <w:rsid w:val="0096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6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8029-1D01-4AD6-BC06-B13EA2BD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Turkiye Is Bankasi A.S</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32</cp:revision>
  <cp:lastPrinted>2018-06-21T07:58:00Z</cp:lastPrinted>
  <dcterms:created xsi:type="dcterms:W3CDTF">2025-02-21T10:41:00Z</dcterms:created>
  <dcterms:modified xsi:type="dcterms:W3CDTF">2025-03-31T06:37:00Z</dcterms:modified>
</cp:coreProperties>
</file>